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C1" w:rsidRPr="00382442" w:rsidRDefault="00CB3FC1" w:rsidP="00043D36">
      <w:pPr>
        <w:spacing w:after="0" w:line="360" w:lineRule="auto"/>
        <w:ind w:firstLine="709"/>
        <w:jc w:val="right"/>
        <w:rPr>
          <w:rFonts w:ascii="Times New Roman" w:hAnsi="Times New Roman"/>
          <w:b/>
          <w:sz w:val="28"/>
          <w:szCs w:val="28"/>
          <w:lang w:val="uk-UA"/>
        </w:rPr>
      </w:pPr>
      <w:r w:rsidRPr="00382442">
        <w:rPr>
          <w:rFonts w:ascii="Times New Roman" w:hAnsi="Times New Roman"/>
          <w:b/>
          <w:sz w:val="28"/>
          <w:szCs w:val="28"/>
          <w:lang w:val="uk-UA"/>
        </w:rPr>
        <w:t>Тетяна Біловус</w:t>
      </w:r>
    </w:p>
    <w:p w:rsidR="00CB3FC1" w:rsidRPr="00382442" w:rsidRDefault="00CB3FC1" w:rsidP="00043D36">
      <w:pPr>
        <w:spacing w:after="0" w:line="360" w:lineRule="auto"/>
        <w:ind w:firstLine="709"/>
        <w:jc w:val="right"/>
        <w:rPr>
          <w:rFonts w:ascii="Times New Roman" w:hAnsi="Times New Roman"/>
          <w:b/>
          <w:sz w:val="28"/>
          <w:szCs w:val="28"/>
          <w:lang w:val="uk-UA"/>
        </w:rPr>
      </w:pPr>
      <w:r>
        <w:rPr>
          <w:rFonts w:ascii="Times New Roman" w:hAnsi="Times New Roman"/>
          <w:b/>
          <w:sz w:val="28"/>
          <w:szCs w:val="28"/>
          <w:lang w:val="uk-UA"/>
        </w:rPr>
        <w:t>(</w:t>
      </w:r>
      <w:r w:rsidRPr="00382442">
        <w:rPr>
          <w:rFonts w:ascii="Times New Roman" w:hAnsi="Times New Roman"/>
          <w:b/>
          <w:sz w:val="28"/>
          <w:szCs w:val="28"/>
          <w:lang w:val="uk-UA"/>
        </w:rPr>
        <w:t xml:space="preserve">Миколаїв, </w:t>
      </w:r>
      <w:r>
        <w:rPr>
          <w:rFonts w:ascii="Times New Roman" w:hAnsi="Times New Roman"/>
          <w:b/>
          <w:sz w:val="28"/>
          <w:szCs w:val="28"/>
          <w:lang w:val="uk-UA"/>
        </w:rPr>
        <w:t>Україна)</w:t>
      </w:r>
    </w:p>
    <w:p w:rsidR="00CB3FC1" w:rsidRPr="00043D36" w:rsidRDefault="00CB3FC1" w:rsidP="00043D36">
      <w:pPr>
        <w:spacing w:after="0" w:line="360" w:lineRule="auto"/>
        <w:ind w:firstLine="709"/>
        <w:jc w:val="right"/>
        <w:rPr>
          <w:rFonts w:ascii="Times New Roman" w:hAnsi="Times New Roman"/>
          <w:i/>
          <w:sz w:val="28"/>
          <w:szCs w:val="28"/>
          <w:lang w:val="uk-UA"/>
        </w:rPr>
      </w:pPr>
    </w:p>
    <w:p w:rsidR="00CB3FC1" w:rsidRDefault="00CB3FC1" w:rsidP="00043D36">
      <w:pPr>
        <w:spacing w:after="0" w:line="360" w:lineRule="auto"/>
        <w:ind w:firstLine="709"/>
        <w:jc w:val="center"/>
        <w:rPr>
          <w:rFonts w:ascii="Times New Roman" w:hAnsi="Times New Roman"/>
          <w:b/>
          <w:sz w:val="28"/>
          <w:szCs w:val="28"/>
          <w:lang w:val="uk-UA"/>
        </w:rPr>
      </w:pPr>
      <w:r w:rsidRPr="00043D36">
        <w:rPr>
          <w:rFonts w:ascii="Times New Roman" w:hAnsi="Times New Roman"/>
          <w:b/>
          <w:sz w:val="28"/>
          <w:szCs w:val="28"/>
          <w:lang w:val="uk-UA"/>
        </w:rPr>
        <w:t>ПРОБЛЕМНІ АСПЕКТИ ЗАКОНОДАВЧОГО РЕГУЛЮВАННЯ ІНВЕСТИЦІЙНИХ ПРОЦЕСІВ НА РЦП УКРАЇНИ</w:t>
      </w:r>
    </w:p>
    <w:p w:rsidR="00CB3FC1" w:rsidRPr="00043D36" w:rsidRDefault="00CB3FC1" w:rsidP="00043D36">
      <w:pPr>
        <w:spacing w:after="0" w:line="360" w:lineRule="auto"/>
        <w:ind w:firstLine="709"/>
        <w:jc w:val="center"/>
        <w:rPr>
          <w:rFonts w:ascii="Times New Roman" w:hAnsi="Times New Roman"/>
          <w:b/>
          <w:sz w:val="28"/>
          <w:szCs w:val="28"/>
          <w:lang w:val="uk-UA"/>
        </w:rPr>
      </w:pP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rPr>
        <w:t>Найб</w:t>
      </w:r>
      <w:r w:rsidRPr="00043D36">
        <w:rPr>
          <w:rFonts w:ascii="Times New Roman" w:hAnsi="Times New Roman"/>
          <w:sz w:val="28"/>
          <w:szCs w:val="28"/>
          <w:lang w:val="uk-UA"/>
        </w:rPr>
        <w:t>ільшою проблемою розвитку ринку цінних паперів (РЦП) в Україні є недосконале законодавче забезпечення. Наявні нормативно-правові акти, що регулюють ринок цінних паперів, зокрема, ЗУ «Про цінні папери та фондовий ринок», ЗУ «Про акціонерні товариства», «Про державне регулювання ринку цінних паперів в Україні», Рішення НКЦПФР № 733 від 03.06.14 «Про затвердження Положення про формування інформаційної бази даних про ринок цінних паперів», Рішення НКЦПФР № 2826 від 03.12.13 «Про затвердження Положення про розкриття інформації емітентами цінних паперів», Наказ НКЦПФР № 175 21.03.13 «Щодо забезпечення здійснення державної регуляторної політики Національною комісією з цінних паперів та фондового ринку » та багато інших – не відповідають сучасним потребам РЦП, містять багато суперечностей та недоліків.</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Для підвищення інтересу інвесторів до українського РЦП потрібна прозорість і стабільність інвестиційного клімату з точки зору законодавчих нормативів, що визначають процес інвестування та виведення капіталу.</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Оскільки ми вважаємо, що ключова роль у розвитку українського РЦП, принаймні на початковому етапі, має належати державі, то почати вдосконалювати законодавчу базу слід із чіткого окреслення та розмежування повноважень головного державного регулятора РЦП – НКЦПФР, а саме :</w:t>
      </w:r>
    </w:p>
    <w:p w:rsidR="00CB3FC1" w:rsidRPr="00043D36" w:rsidRDefault="00CB3FC1" w:rsidP="00043D36">
      <w:pPr>
        <w:pStyle w:val="ListParagraph"/>
        <w:numPr>
          <w:ilvl w:val="0"/>
          <w:numId w:val="1"/>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Слід розширити повноваження, а також інституційну та фінансову незалежність НКЦПФР;</w:t>
      </w:r>
    </w:p>
    <w:p w:rsidR="00CB3FC1" w:rsidRPr="00043D36" w:rsidRDefault="00CB3FC1" w:rsidP="00043D36">
      <w:pPr>
        <w:pStyle w:val="ListParagraph"/>
        <w:numPr>
          <w:ilvl w:val="0"/>
          <w:numId w:val="1"/>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Розширити контрольно-слідчі та правозастосовчі функції та повноваження НКЦПФР стосовно виявлення порушень на РЦП та стосовно правопорушників на фінансовому ринку;</w:t>
      </w:r>
    </w:p>
    <w:p w:rsidR="00CB3FC1" w:rsidRPr="00043D36" w:rsidRDefault="00CB3FC1" w:rsidP="00043D36">
      <w:pPr>
        <w:pStyle w:val="ListParagraph"/>
        <w:numPr>
          <w:ilvl w:val="0"/>
          <w:numId w:val="1"/>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Законодавчо заборонити п</w:t>
      </w:r>
      <w:r w:rsidRPr="00043D36">
        <w:rPr>
          <w:rFonts w:ascii="Times New Roman" w:hAnsi="Times New Roman"/>
          <w:sz w:val="28"/>
          <w:szCs w:val="28"/>
        </w:rPr>
        <w:t>олітичним силам та чиновникам втручатися в діяльність регулятора. НКЦПФР</w:t>
      </w:r>
      <w:r w:rsidRPr="00043D36">
        <w:rPr>
          <w:rFonts w:ascii="Times New Roman" w:hAnsi="Times New Roman"/>
          <w:sz w:val="28"/>
          <w:szCs w:val="28"/>
          <w:lang w:val="uk-UA"/>
        </w:rPr>
        <w:t xml:space="preserve"> надати</w:t>
      </w:r>
      <w:r w:rsidRPr="00043D36">
        <w:rPr>
          <w:rFonts w:ascii="Times New Roman" w:hAnsi="Times New Roman"/>
          <w:sz w:val="28"/>
          <w:szCs w:val="28"/>
        </w:rPr>
        <w:t xml:space="preserve"> право прийматирішення, які не потребуютьпогодженняабореєстрації в інших органах виконавчоївлади;</w:t>
      </w:r>
    </w:p>
    <w:p w:rsidR="00CB3FC1" w:rsidRPr="00043D36" w:rsidRDefault="00CB3FC1" w:rsidP="00043D36">
      <w:pPr>
        <w:pStyle w:val="ListParagraph"/>
        <w:numPr>
          <w:ilvl w:val="0"/>
          <w:numId w:val="1"/>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 xml:space="preserve">Зняти обмеження, які стримують інспекційну діяльність Комісії на РЦП, адже українським законодавством накладено багато обмежень стосовно здійснення перевірок, стосовно періодичності та тривалості інспекційних перевірок, обов’язково вимагається попереднє узгодження щодо деяких перевірок з іншим державним органом – все це «зв’язує руки» та обмежує можливості НКЦПФР щодо впливу та регулювання на РЦП. Дані обмеження суперечать також міжнародним стандартам Міжнародної організації комісій з цінних паперів . У випадках, коли на РЦП відбуваються правопорушення, РЦП не має законних повноважень вплинути на виправлення такої ситуації, адже Комісія не вправі вимагати необхідну інформацію, не має права затребувати інформаційні дані по співпрацівниках із податкової, не має права перевірити дані щодо грошових операцій на банківських рахунках, не має права затребувати та перевіряти роздруківку телефонних дзвінків, електронну переписку та ін. Чинним законодавством дозволено лише застосовувати штрафні санкції і то – стосовно лише офіційних учасників РЦП. Відсутні законодавчі норми стосовно позбавлення волі навіть за найтяжчі правопорушення. Все це свідчить про необхідність наділити НКЦПФР повноваженнями у сфері ведення слідства щодо правопорушень будь-яких осіб на РЦП, доступу до відповідної інформації від таких осіб та доступ до інформаційних баз даних з обмеженим доступом (наприклад, банківська таємниця тощо). Слід на законодачому рівні чітко визначити та розтлумачити поняття «тяжкий випадок», його ознаки та складові. В цьому контексті слід за участю НКЦПФР та слідчими органами держави на законодачому рівні чітко розділити та визначити обов’язки та повноваження між НКЦПФР та органами, які розслідують кримінальні правопорушення в країні, узгодити співпрацю даних служб. </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 xml:space="preserve">На етапі відновлення ринку важливим є державне і громадське регулювання. Ефективний моніторинг за ринком повинні здійснювати як Комісія з цінних паперів, так і саморегулюючі об’єднання професійних учасників ринку. </w:t>
      </w:r>
      <w:r w:rsidRPr="00043D36">
        <w:rPr>
          <w:rFonts w:ascii="Times New Roman" w:hAnsi="Times New Roman"/>
          <w:sz w:val="28"/>
          <w:szCs w:val="28"/>
        </w:rPr>
        <w:t>Їхспільна робота дозволить виробити правила, якібудутьвиконуватисяпрофучасниками і змінятьпогану карму в</w:t>
      </w:r>
      <w:r w:rsidRPr="00043D36">
        <w:rPr>
          <w:rFonts w:ascii="Times New Roman" w:hAnsi="Times New Roman"/>
          <w:sz w:val="28"/>
          <w:szCs w:val="28"/>
          <w:lang w:val="uk-UA"/>
        </w:rPr>
        <w:t>ітчизняного РЦП.</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Слід збільшити фінансову незалежність НКЦПФР, оскільки упродовж кількох років бюджет регулятора включає тільки витрати на оплату праці та накладні витрати. Зовсім не виділяються кошти на капітальні витрати, на оновлення системи інформатизації тощо. Таке фінансування обмежує залучення висококваліфікованих фахівців та не дає можливості вкладати кошти у технологічне оснащення. А РЦП є технологічно містким ринком, саме тому НКЦПФР вкрай необхідні сучасні технології високого рівня, аби здійснювати належне та своєчасне регулювання на РЦП. Для цього треба перевести НКЦПФР на автономне фінансування шляхом збору коштів за адміністративні послуги та річної плати за нагляд з об’єктів контролю, шляхом отримання коштів від адміністративних санкцій тощо. Нині суб’єкти РЦП оплачують адміністративні послуги, але ці кошти надходять до держбюджету, а не на баланс НКЦПФР. Це питання слід узгодити на законодавчому рівні.</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Також необхідно налагодити міжнародну співпрацю НКЦПФР в контексті узгодження українського законодавства щодо регулювання РЦП із міжнародними стандартами, що містяться у міжнародних нормативно-правових актах, зокрема: Директива про прозорість (Директива 2004/109/</w:t>
      </w:r>
      <w:r w:rsidRPr="00043D36">
        <w:rPr>
          <w:rFonts w:ascii="Times New Roman" w:hAnsi="Times New Roman"/>
          <w:sz w:val="28"/>
          <w:szCs w:val="28"/>
          <w:lang w:val="en-US"/>
        </w:rPr>
        <w:t>EC</w:t>
      </w:r>
      <w:r w:rsidRPr="00043D36">
        <w:rPr>
          <w:rFonts w:ascii="Times New Roman" w:hAnsi="Times New Roman"/>
          <w:sz w:val="28"/>
          <w:szCs w:val="28"/>
          <w:lang w:val="uk-UA"/>
        </w:rPr>
        <w:t>), Міжнародні стандарти фінансової звітності, Регламент про проспект емісії (Регламент ЄС № 809/2004), Багатосторонній меморандум про взаєморозуміння, Директива про кримінальні санкції за маніпулювання на ринках (Директива 2014/57/</w:t>
      </w:r>
      <w:r w:rsidRPr="00043D36">
        <w:rPr>
          <w:rFonts w:ascii="Times New Roman" w:hAnsi="Times New Roman"/>
          <w:sz w:val="28"/>
          <w:szCs w:val="28"/>
          <w:lang w:val="en-US"/>
        </w:rPr>
        <w:t>EU</w:t>
      </w:r>
      <w:r w:rsidRPr="00043D36">
        <w:rPr>
          <w:rFonts w:ascii="Times New Roman" w:hAnsi="Times New Roman"/>
          <w:sz w:val="28"/>
          <w:szCs w:val="28"/>
          <w:lang w:val="uk-UA"/>
        </w:rPr>
        <w:t>), Директива про проспект емісії (Директива 2003/71/</w:t>
      </w:r>
      <w:r w:rsidRPr="00043D36">
        <w:rPr>
          <w:rFonts w:ascii="Times New Roman" w:hAnsi="Times New Roman"/>
          <w:sz w:val="28"/>
          <w:szCs w:val="28"/>
          <w:lang w:val="en-US"/>
        </w:rPr>
        <w:t>EC</w:t>
      </w:r>
      <w:r w:rsidRPr="00043D36">
        <w:rPr>
          <w:rFonts w:ascii="Times New Roman" w:hAnsi="Times New Roman"/>
          <w:sz w:val="28"/>
          <w:szCs w:val="28"/>
          <w:lang w:val="uk-UA"/>
        </w:rPr>
        <w:t>), Директива про ринки фінансових інструментів (Директива 2004/39/</w:t>
      </w:r>
      <w:r w:rsidRPr="00043D36">
        <w:rPr>
          <w:rFonts w:ascii="Times New Roman" w:hAnsi="Times New Roman"/>
          <w:sz w:val="28"/>
          <w:szCs w:val="28"/>
          <w:lang w:val="en-US"/>
        </w:rPr>
        <w:t>EC</w:t>
      </w:r>
      <w:r w:rsidRPr="00043D36">
        <w:rPr>
          <w:rFonts w:ascii="Times New Roman" w:hAnsi="Times New Roman"/>
          <w:sz w:val="28"/>
          <w:szCs w:val="28"/>
          <w:lang w:val="uk-UA"/>
        </w:rPr>
        <w:t>), Регламент про маніпулювання на ринках (Регламент 2014/596/</w:t>
      </w:r>
      <w:r w:rsidRPr="00043D36">
        <w:rPr>
          <w:rFonts w:ascii="Times New Roman" w:hAnsi="Times New Roman"/>
          <w:sz w:val="28"/>
          <w:szCs w:val="28"/>
          <w:lang w:val="en-US"/>
        </w:rPr>
        <w:t>EU</w:t>
      </w:r>
      <w:r w:rsidRPr="00043D36">
        <w:rPr>
          <w:rFonts w:ascii="Times New Roman" w:hAnsi="Times New Roman"/>
          <w:sz w:val="28"/>
          <w:szCs w:val="28"/>
          <w:lang w:val="uk-UA"/>
        </w:rPr>
        <w:t>) та ін. Доцільно було б усі запозичені із міжнародних документів нормативні нововведення об’єднати та відобразити в одному єдиному законопроекті для більшої зручності , а також щоб нові зміни набули одночасної законності.</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Підвищеної уваги слід приділити законодавчим нормам стосовно проспекту емісії цінних паперів і відділити процес затвердження проспекту емісії від процесу реєстрації випусків ЦП. Закон має забезпечити розкриття відповідної інформації у проспектах, зобов’язати емітентів надавати фінансовий звіт щодо свого поточного стану, прозорий управлінський звіт з аналізом діяльності емітента за весь період свого розвитку. Адже відповідно до українського законодавства  у проспекті емісії відображаються лише баланси та звіти про фінансові результати, при цьому не висвітлюється грошові потоки підприємств, а також не висвітлюються примітки до фінансових звітів. Фінансова звітність вимагається лише за останній фінансовий рік та останній квартал. Не вимагається відображати повну всебічну інформацію про ризики щодо цінних паперів. Все це обмежує можливості інвесторів проаналізувати та прорахувати всі ризики та ефекти від вкладення коштів в інструменти РЦП. Також недоліком сучасного законодавства є те, що нема дозволу доповнювати та вносити зміни емітентом до проспекту після того як почалася передплата на ЦП. Це суперечить статті 16 Директиви про проспект емісії.</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НКЦПФР зосереджує свою увагу не на достовірності інформації, що зазначена в проспекті, а на реєстрації емісії ЦП, що є негативним явищем.</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Слід також спростити законодавчі вимоги щодо реєстрації випуску специфічних продуктів РЦП – ЦП та введення їх в обіг на ринку, разом з цим підвищити вимоги до діяльності андеррайтерів та маркет-мейкерів, чітко прописати в законі процедуру обігу державних ЦП на фондовому ринку.</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Отже, необхідно втілити в життя наступні пропозиції:</w:t>
      </w:r>
    </w:p>
    <w:p w:rsidR="00CB3FC1" w:rsidRPr="00043D36" w:rsidRDefault="00CB3FC1" w:rsidP="00043D36">
      <w:pPr>
        <w:pStyle w:val="ListParagraph"/>
        <w:numPr>
          <w:ilvl w:val="0"/>
          <w:numId w:val="2"/>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Зобов’язати емітентів розкривати повну інформацію, що стосується цінних паперів;</w:t>
      </w:r>
    </w:p>
    <w:p w:rsidR="00CB3FC1" w:rsidRPr="00043D36" w:rsidRDefault="00CB3FC1" w:rsidP="00043D36">
      <w:pPr>
        <w:pStyle w:val="ListParagraph"/>
        <w:numPr>
          <w:ilvl w:val="0"/>
          <w:numId w:val="2"/>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Забезпечити дотримання вимог електронного документообігу;</w:t>
      </w:r>
    </w:p>
    <w:p w:rsidR="00CB3FC1" w:rsidRPr="00043D36" w:rsidRDefault="00CB3FC1" w:rsidP="00043D36">
      <w:pPr>
        <w:pStyle w:val="ListParagraph"/>
        <w:numPr>
          <w:ilvl w:val="0"/>
          <w:numId w:val="2"/>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Чітко визначити на законодавчому рівні використання інсайдерської інформації стосовно учасників РЦП;</w:t>
      </w:r>
    </w:p>
    <w:p w:rsidR="00CB3FC1" w:rsidRPr="00043D36" w:rsidRDefault="00CB3FC1" w:rsidP="00043D36">
      <w:pPr>
        <w:pStyle w:val="ListParagraph"/>
        <w:numPr>
          <w:ilvl w:val="0"/>
          <w:numId w:val="2"/>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Законодавчо визначити та забезпечити наслідки подання неправдивих інформаційних даних емітентами або несвоєчасного надання необхідних даних;</w:t>
      </w:r>
    </w:p>
    <w:p w:rsidR="00CB3FC1" w:rsidRPr="00043D36" w:rsidRDefault="00CB3FC1" w:rsidP="00043D36">
      <w:pPr>
        <w:pStyle w:val="ListParagraph"/>
        <w:numPr>
          <w:ilvl w:val="0"/>
          <w:numId w:val="2"/>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Зобов</w:t>
      </w:r>
      <w:r w:rsidRPr="00043D36">
        <w:rPr>
          <w:rFonts w:ascii="Times New Roman" w:hAnsi="Times New Roman"/>
          <w:sz w:val="28"/>
          <w:szCs w:val="28"/>
        </w:rPr>
        <w:t>’</w:t>
      </w:r>
      <w:r w:rsidRPr="00043D36">
        <w:rPr>
          <w:rFonts w:ascii="Times New Roman" w:hAnsi="Times New Roman"/>
          <w:sz w:val="28"/>
          <w:szCs w:val="28"/>
          <w:lang w:val="uk-UA"/>
        </w:rPr>
        <w:t>язати учасників ринку додержуватися міжнародних стандартів фінансової звітності;</w:t>
      </w:r>
    </w:p>
    <w:p w:rsidR="00CB3FC1" w:rsidRPr="00043D36" w:rsidRDefault="00CB3FC1" w:rsidP="00043D36">
      <w:pPr>
        <w:pStyle w:val="ListParagraph"/>
        <w:numPr>
          <w:ilvl w:val="0"/>
          <w:numId w:val="2"/>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На законодавчому рівні регламентувати та забезпечити діяльність ЗМІ, інформаційно-аналітичних агенств, бюро, що оприлюднють інформацію про діяльність та фінансовий стан суб’єктів РЦП.</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Недосконалим є ЗУ «Про аудит фінансової звітності та аудиторську діяльність», тому що в ньому відсутні положення, які б стосувалися якості здійснення аудиту на РЦП, а це означає, що перевірка професійних учасників РЦП матиме чисто формальний характер, а не справжній аудиторський контроль за фінансовою звітністю даних учасників ринку. Справа в тому, що були внесені зміни до вищезазначеного закону, в результаті якого у законі давалося визначення «підприємств, що становлять суспільний інтерес». Та в остаточній редакції закону зі списку «підприєств, що становлять суспільний інтерес» зникли професійні учасники РЦП, що дозволяє даним учасникам залишати результати своєї діяльності в тіні від державного контролю. А це велика кількість торговців ЦП, КУА, депозитарних установ тощо, які володіють та управляють мільярдами гривень своїх «клієнтів-інвесторів», тобто «суспільними грошима»</w:t>
      </w:r>
      <w:r>
        <w:rPr>
          <w:rFonts w:ascii="Times New Roman" w:hAnsi="Times New Roman"/>
          <w:sz w:val="28"/>
          <w:szCs w:val="28"/>
          <w:lang w:val="uk-UA"/>
        </w:rPr>
        <w:t xml:space="preserve"> [ 1 ]</w:t>
      </w:r>
      <w:r w:rsidRPr="00043D36">
        <w:rPr>
          <w:rFonts w:ascii="Times New Roman" w:hAnsi="Times New Roman"/>
          <w:sz w:val="28"/>
          <w:szCs w:val="28"/>
          <w:lang w:val="uk-UA"/>
        </w:rPr>
        <w:t xml:space="preserve">. </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Також не правильним явищем є ситуація, коли до професійних учасників РЦП так само як і до малих та зовсім дрібних підприємств ставляться однаково спрощені вимоги. Водночас до всіх емітентів РЦП мають висуватися однакові вимоги стосовно прозорості та правдивості фінансової звітності та фінансового аудиту.</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Все це негативним чином впливатиме на розвиток РЦП, створюватиме ризики для всіх учасників ринку та не поверне довіру до учасників ринку й  РЦП в цілому.</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Те, що професійні учасники РЦП не будуть визнані Законом як підприємства, що являють суспільний інтерес, впливатиме негативно на розвиток РЦП в тому сенсі, що більшість ринку так і продовжуватиме перебувати в «тіні», інвестиційні процеси гальмуватимуться, а операції на РЦП здійснюватимуться задля уникнення або зменшення податкового навантаження, легалізації коштів, отриманих незаконним шляхом, прихованого кредитування тощо.</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Ми пропонуємо ввести жорсткі штрафні санкції і, навіть, кримінальну відповідальність у вигляді позбавлення волі (в залежності від тяжкості злочину) за спеціальне розміщення заздалегідь неправдивої та неперевіреної інформації. Також доречно було б створити єдиний офіційний електронний ресурс, на якому б лише емітенти могли висвітлювати всю існуючу інформацію  про свої підприємства, фірми, компанії. Це полегшить інвесторам пошук необхідної інформації та протидіятиме поширенню на ринку неправдивої інформації з «сумнівних» джерел.</w:t>
      </w:r>
    </w:p>
    <w:p w:rsidR="00CB3FC1" w:rsidRPr="00043D36" w:rsidRDefault="00CB3FC1" w:rsidP="00043D36">
      <w:pPr>
        <w:pStyle w:val="ListParagraph"/>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Необхідно доопрацювати ЗУ «Про інформацію» щодо використання інсайдерської інформації. Пропозиції наступні: 1) чітко визначити та перерахувати осіб, які мають доступ до інсайдерської інформації; 2) ввести жорсткі штрафні санкції, а у випадках використання інсайдерської таємниці в особистих інвестиційних цілях, - заборонити та забрати ліцензію на ведення інсайдером своєї діяльності на фінансовому ринку.</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Гострим питанням розвитку РЦП є недовіра інвесторів до судової гілки влади в Україні, величезна бюрократизація, корупція та хабарництво на всіх рівнях усіх гілок державної влади. Необхідно законодавчо окреслити та врегулювати питання маніпуляції на РЦП і торгівлі інсайдерською інформацією, а також вжити заходи, узгоджені з українськими та міжнародними стандартами.</w:t>
      </w:r>
    </w:p>
    <w:p w:rsidR="00CB3FC1" w:rsidRPr="00043D36" w:rsidRDefault="00CB3FC1" w:rsidP="00043D36">
      <w:pPr>
        <w:spacing w:after="0" w:line="360" w:lineRule="auto"/>
        <w:ind w:firstLine="709"/>
        <w:jc w:val="both"/>
        <w:rPr>
          <w:rFonts w:ascii="Times New Roman" w:hAnsi="Times New Roman"/>
          <w:sz w:val="28"/>
          <w:szCs w:val="28"/>
          <w:lang w:val="uk-UA"/>
        </w:rPr>
      </w:pPr>
      <w:r w:rsidRPr="00043D36">
        <w:rPr>
          <w:rFonts w:ascii="Times New Roman" w:hAnsi="Times New Roman"/>
          <w:sz w:val="28"/>
          <w:szCs w:val="28"/>
          <w:lang w:val="uk-UA"/>
        </w:rPr>
        <w:t>Основні пропозиції щодо законодавчого регулювання РЦП :</w:t>
      </w:r>
    </w:p>
    <w:p w:rsidR="00CB3FC1" w:rsidRPr="00043D36"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Врегулювання емісії та обігу інструментів РЦП законодавчими нормами;</w:t>
      </w:r>
    </w:p>
    <w:p w:rsidR="00CB3FC1" w:rsidRPr="00043D36"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Врегулювати питання емісії, обігу та розміщення державних ЦП;</w:t>
      </w:r>
    </w:p>
    <w:p w:rsidR="00CB3FC1" w:rsidRPr="00043D36"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Державні гарантії щодо операцій з державними ЦП;</w:t>
      </w:r>
    </w:p>
    <w:p w:rsidR="00CB3FC1" w:rsidRPr="00043D36"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Внесення в усі нормативно-правові акти, що стосуються питань регулювання РЦП, як рівноправних суб’єктів РЦП таких учасників як органи місцевого самоврядування, державні банки та державні установи, які ведуть господарську діяльність і контролюються державою з метою залучення додаткових публічних фінансових коштів;</w:t>
      </w:r>
    </w:p>
    <w:p w:rsidR="00CB3FC1" w:rsidRPr="00043D36"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Визнати на законодавчому рівні криптовалюти як новий вид інструментів РЦП і чітко прописати їх емісію та обіг на РЦП;</w:t>
      </w:r>
    </w:p>
    <w:p w:rsidR="00CB3FC1" w:rsidRPr="00043D36"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Запровадження на законодавчому рівні другого рівня системи пенсійного накопичення;</w:t>
      </w:r>
    </w:p>
    <w:p w:rsidR="00CB3FC1" w:rsidRDefault="00CB3FC1" w:rsidP="00043D36">
      <w:pPr>
        <w:pStyle w:val="ListParagraph"/>
        <w:numPr>
          <w:ilvl w:val="0"/>
          <w:numId w:val="3"/>
        </w:numPr>
        <w:spacing w:after="0" w:line="360" w:lineRule="auto"/>
        <w:ind w:left="0" w:firstLine="709"/>
        <w:jc w:val="both"/>
        <w:rPr>
          <w:rFonts w:ascii="Times New Roman" w:hAnsi="Times New Roman"/>
          <w:sz w:val="28"/>
          <w:szCs w:val="28"/>
          <w:lang w:val="uk-UA"/>
        </w:rPr>
      </w:pPr>
      <w:r w:rsidRPr="00043D36">
        <w:rPr>
          <w:rFonts w:ascii="Times New Roman" w:hAnsi="Times New Roman"/>
          <w:sz w:val="28"/>
          <w:szCs w:val="28"/>
          <w:lang w:val="uk-UA"/>
        </w:rPr>
        <w:t>Запозичення та використання міжнародного досвіду у сфері державного регулювання РЦП із використанням інноваційних фінансових інструментів.</w:t>
      </w:r>
    </w:p>
    <w:p w:rsidR="00CB3FC1" w:rsidRDefault="00CB3FC1" w:rsidP="00E2593D">
      <w:pPr>
        <w:pStyle w:val="ListParagraph"/>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Отже, е</w:t>
      </w:r>
      <w:r w:rsidRPr="00E2593D">
        <w:rPr>
          <w:rFonts w:ascii="Times New Roman" w:hAnsi="Times New Roman"/>
          <w:sz w:val="28"/>
          <w:szCs w:val="28"/>
          <w:lang w:val="uk-UA"/>
        </w:rPr>
        <w:t>фективне нормативно-правове регулювання інвестиційних процесів – запорука успішного розвитку та функціонування ринку цінних паперів в Україні.</w:t>
      </w:r>
    </w:p>
    <w:p w:rsidR="00CB3FC1" w:rsidRPr="00043D36" w:rsidRDefault="00CB3FC1" w:rsidP="00E2593D">
      <w:pPr>
        <w:pStyle w:val="ListParagraph"/>
        <w:spacing w:after="0" w:line="360" w:lineRule="auto"/>
        <w:ind w:left="0" w:firstLine="709"/>
        <w:jc w:val="both"/>
        <w:rPr>
          <w:rFonts w:ascii="Times New Roman" w:hAnsi="Times New Roman"/>
          <w:sz w:val="28"/>
          <w:szCs w:val="28"/>
          <w:lang w:val="uk-UA"/>
        </w:rPr>
      </w:pPr>
    </w:p>
    <w:p w:rsidR="00CB3FC1" w:rsidRPr="00DF797E" w:rsidRDefault="00CB3FC1" w:rsidP="00382442">
      <w:pPr>
        <w:spacing w:after="0" w:line="360" w:lineRule="auto"/>
        <w:ind w:firstLine="709"/>
        <w:rPr>
          <w:rFonts w:ascii="Times New Roman" w:hAnsi="Times New Roman"/>
          <w:b/>
          <w:sz w:val="28"/>
          <w:szCs w:val="28"/>
          <w:lang w:val="uk-UA"/>
        </w:rPr>
      </w:pPr>
      <w:r w:rsidRPr="00DF797E">
        <w:rPr>
          <w:rFonts w:ascii="Times New Roman" w:hAnsi="Times New Roman"/>
          <w:b/>
          <w:sz w:val="28"/>
          <w:szCs w:val="28"/>
          <w:lang w:val="uk-UA"/>
        </w:rPr>
        <w:t>Література:</w:t>
      </w:r>
    </w:p>
    <w:p w:rsidR="00CB3FC1" w:rsidRPr="00043D36" w:rsidRDefault="00CB3FC1" w:rsidP="00043D36">
      <w:pPr>
        <w:pStyle w:val="ListParagraph"/>
        <w:numPr>
          <w:ilvl w:val="0"/>
          <w:numId w:val="4"/>
        </w:numPr>
        <w:spacing w:after="0" w:line="360" w:lineRule="auto"/>
        <w:ind w:left="0" w:firstLine="709"/>
        <w:jc w:val="both"/>
        <w:rPr>
          <w:rFonts w:ascii="Times New Roman" w:hAnsi="Times New Roman"/>
          <w:sz w:val="28"/>
          <w:szCs w:val="28"/>
          <w:lang w:val="uk-UA"/>
        </w:rPr>
      </w:pPr>
      <w:r w:rsidRPr="00043D36">
        <w:rPr>
          <w:rFonts w:ascii="Times New Roman" w:hAnsi="Times New Roman"/>
          <w:bCs/>
          <w:sz w:val="28"/>
          <w:szCs w:val="28"/>
          <w:lang w:val="uk-UA"/>
        </w:rPr>
        <w:t xml:space="preserve">Про аудит фінансової звітності та аудиторську діяльність </w:t>
      </w:r>
      <w:r w:rsidRPr="00043D36">
        <w:rPr>
          <w:rFonts w:ascii="Times New Roman" w:hAnsi="Times New Roman"/>
          <w:sz w:val="28"/>
          <w:szCs w:val="28"/>
          <w:lang w:val="uk-UA"/>
        </w:rPr>
        <w:t>[ Електронний ресурс]Закон України від 21 грудня 2017 року № 2258-</w:t>
      </w:r>
      <w:r w:rsidRPr="00043D36">
        <w:rPr>
          <w:rFonts w:ascii="Times New Roman" w:hAnsi="Times New Roman"/>
          <w:sz w:val="28"/>
          <w:szCs w:val="28"/>
        </w:rPr>
        <w:t>VIII</w:t>
      </w:r>
      <w:r w:rsidRPr="00043D36">
        <w:rPr>
          <w:rFonts w:ascii="Times New Roman" w:hAnsi="Times New Roman"/>
          <w:sz w:val="28"/>
          <w:szCs w:val="28"/>
          <w:lang w:val="uk-UA"/>
        </w:rPr>
        <w:t xml:space="preserve"> – Режим доступу: https://zakon.rada.gov.ua/laws/show/2258-19</w:t>
      </w:r>
    </w:p>
    <w:p w:rsidR="00CB3FC1" w:rsidRDefault="00CB3FC1" w:rsidP="00043D36">
      <w:pPr>
        <w:spacing w:after="0" w:line="360" w:lineRule="auto"/>
        <w:ind w:firstLine="709"/>
        <w:jc w:val="right"/>
        <w:rPr>
          <w:rFonts w:ascii="Times New Roman" w:hAnsi="Times New Roman"/>
          <w:b/>
          <w:sz w:val="28"/>
          <w:szCs w:val="28"/>
          <w:lang w:val="uk-UA"/>
        </w:rPr>
      </w:pPr>
      <w:r w:rsidRPr="00043D36">
        <w:rPr>
          <w:rFonts w:ascii="Times New Roman" w:hAnsi="Times New Roman"/>
          <w:b/>
          <w:sz w:val="28"/>
          <w:szCs w:val="28"/>
          <w:lang w:val="uk-UA"/>
        </w:rPr>
        <w:t>Науковий керівник :</w:t>
      </w:r>
    </w:p>
    <w:p w:rsidR="00CB3FC1" w:rsidRDefault="00CB3FC1" w:rsidP="00043D36">
      <w:pPr>
        <w:spacing w:after="0" w:line="360" w:lineRule="auto"/>
        <w:ind w:firstLine="709"/>
        <w:jc w:val="right"/>
        <w:rPr>
          <w:rFonts w:ascii="Times New Roman" w:hAnsi="Times New Roman"/>
          <w:sz w:val="28"/>
          <w:szCs w:val="28"/>
          <w:lang w:val="uk-UA"/>
        </w:rPr>
      </w:pPr>
      <w:r>
        <w:rPr>
          <w:rFonts w:ascii="Times New Roman" w:hAnsi="Times New Roman"/>
          <w:color w:val="000000"/>
          <w:sz w:val="28"/>
          <w:szCs w:val="28"/>
          <w:shd w:val="clear" w:color="auto" w:fill="FFFFFF"/>
          <w:lang w:val="uk-UA"/>
        </w:rPr>
        <w:t xml:space="preserve">професор </w:t>
      </w:r>
      <w:r w:rsidRPr="00043D36">
        <w:rPr>
          <w:rFonts w:ascii="Times New Roman" w:hAnsi="Times New Roman"/>
          <w:sz w:val="28"/>
          <w:szCs w:val="28"/>
          <w:lang w:val="uk-UA"/>
        </w:rPr>
        <w:t>Коваленко Юлія Михайлівна</w:t>
      </w:r>
      <w:r>
        <w:rPr>
          <w:rFonts w:ascii="Times New Roman" w:hAnsi="Times New Roman"/>
          <w:sz w:val="28"/>
          <w:szCs w:val="28"/>
          <w:lang w:val="uk-UA"/>
        </w:rPr>
        <w:t>.</w:t>
      </w:r>
    </w:p>
    <w:p w:rsidR="00CB3FC1" w:rsidRDefault="00CB3FC1" w:rsidP="00043D36">
      <w:pPr>
        <w:spacing w:after="0" w:line="360" w:lineRule="auto"/>
        <w:ind w:firstLine="709"/>
        <w:jc w:val="right"/>
        <w:rPr>
          <w:rFonts w:ascii="Times New Roman" w:hAnsi="Times New Roman"/>
          <w:sz w:val="28"/>
          <w:szCs w:val="28"/>
          <w:lang w:val="uk-UA"/>
        </w:rPr>
      </w:pPr>
    </w:p>
    <w:sectPr w:rsidR="00CB3FC1" w:rsidSect="00043D3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453F2"/>
    <w:multiLevelType w:val="hybridMultilevel"/>
    <w:tmpl w:val="0A828A24"/>
    <w:lvl w:ilvl="0" w:tplc="18B66C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6B72312"/>
    <w:multiLevelType w:val="hybridMultilevel"/>
    <w:tmpl w:val="452AE000"/>
    <w:lvl w:ilvl="0" w:tplc="1E3094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8000451"/>
    <w:multiLevelType w:val="hybridMultilevel"/>
    <w:tmpl w:val="6694BC40"/>
    <w:lvl w:ilvl="0" w:tplc="5D2AA1F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7787532E"/>
    <w:multiLevelType w:val="hybridMultilevel"/>
    <w:tmpl w:val="3C46C872"/>
    <w:lvl w:ilvl="0" w:tplc="8CD8E6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5A2"/>
    <w:rsid w:val="00040886"/>
    <w:rsid w:val="00043D36"/>
    <w:rsid w:val="00187781"/>
    <w:rsid w:val="001A1CB6"/>
    <w:rsid w:val="00382442"/>
    <w:rsid w:val="0043619D"/>
    <w:rsid w:val="00640422"/>
    <w:rsid w:val="009A0EB3"/>
    <w:rsid w:val="00AC5231"/>
    <w:rsid w:val="00AE45A2"/>
    <w:rsid w:val="00B20F78"/>
    <w:rsid w:val="00CB3FC1"/>
    <w:rsid w:val="00DF797E"/>
    <w:rsid w:val="00E2593D"/>
    <w:rsid w:val="00E554F2"/>
    <w:rsid w:val="00EC720F"/>
    <w:rsid w:val="00F40A2F"/>
    <w:rsid w:val="00F4113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9D"/>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3619D"/>
    <w:pPr>
      <w:ind w:left="720"/>
      <w:contextualSpacing/>
    </w:pPr>
  </w:style>
  <w:style w:type="character" w:styleId="Hyperlink">
    <w:name w:val="Hyperlink"/>
    <w:basedOn w:val="DefaultParagraphFont"/>
    <w:uiPriority w:val="99"/>
    <w:rsid w:val="0043619D"/>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7</Pages>
  <Words>7941</Words>
  <Characters>4527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Admin</cp:lastModifiedBy>
  <cp:revision>13</cp:revision>
  <dcterms:created xsi:type="dcterms:W3CDTF">2019-08-21T12:22:00Z</dcterms:created>
  <dcterms:modified xsi:type="dcterms:W3CDTF">2019-08-21T20:05:00Z</dcterms:modified>
</cp:coreProperties>
</file>